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52"/>
          <w:szCs w:val="52"/>
        </w:rPr>
      </w:pPr>
      <w:r>
        <w:rPr>
          <w:rFonts w:hint="eastAsia" w:eastAsia="方正小标宋简体"/>
          <w:sz w:val="52"/>
          <w:szCs w:val="52"/>
        </w:rPr>
        <w:t>全国计算机等级考试报名系统</w:t>
      </w:r>
    </w:p>
    <w:p>
      <w:pPr>
        <w:jc w:val="center"/>
        <w:rPr>
          <w:rFonts w:eastAsia="方正小标宋简体"/>
          <w:sz w:val="44"/>
          <w:szCs w:val="30"/>
        </w:rPr>
      </w:pPr>
      <w:r>
        <w:rPr>
          <w:rFonts w:hint="eastAsia" w:eastAsia="方正小标宋简体"/>
          <w:sz w:val="44"/>
          <w:szCs w:val="30"/>
        </w:rPr>
        <w:t>考生使用说明书</w:t>
      </w:r>
    </w:p>
    <w:p>
      <w:pPr>
        <w:spacing w:before="10608" w:beforeLines="34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教育部考试中心</w:t>
      </w:r>
    </w:p>
    <w:p>
      <w:pPr>
        <w:jc w:val="center"/>
        <w:rPr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30"/>
          <w:szCs w:val="30"/>
        </w:rPr>
        <w:t>201</w:t>
      </w:r>
      <w:r>
        <w:rPr>
          <w:rFonts w:hint="eastAsia"/>
          <w:sz w:val="30"/>
          <w:szCs w:val="30"/>
          <w:lang w:val="en-US" w:eastAsia="zh-CN"/>
        </w:rPr>
        <w:t>6</w:t>
      </w:r>
      <w:r>
        <w:rPr>
          <w:rFonts w:hint="eastAsia"/>
          <w:sz w:val="30"/>
          <w:szCs w:val="30"/>
        </w:rPr>
        <w:t>.05</w:t>
      </w:r>
    </w:p>
    <w:sdt>
      <w:sdtPr>
        <w:rPr>
          <w:rFonts w:ascii="Times New Roman" w:hAnsi="Times New Roman" w:eastAsia="宋体" w:cstheme="minorBidi"/>
          <w:b w:val="0"/>
          <w:bCs w:val="0"/>
          <w:color w:val="auto"/>
          <w:kern w:val="2"/>
          <w:sz w:val="21"/>
          <w:szCs w:val="22"/>
          <w:lang w:val="zh-CN"/>
        </w:rPr>
        <w:id w:val="1483727693"/>
      </w:sdtPr>
      <w:sdtEndPr>
        <w:rPr>
          <w:rFonts w:ascii="Times New Roman" w:hAnsi="Times New Roman" w:eastAsia="宋体" w:cstheme="minorBidi"/>
          <w:b w:val="0"/>
          <w:bCs w:val="0"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6"/>
            <w:spacing w:before="120"/>
            <w:ind w:firstLine="420"/>
            <w:jc w:val="center"/>
          </w:pPr>
          <w:r>
            <w:rPr>
              <w:lang w:val="zh-CN"/>
            </w:rPr>
            <w:t>目</w:t>
          </w:r>
          <w:r>
            <w:rPr>
              <w:rFonts w:hint="eastAsia"/>
              <w:lang w:val="zh-CN"/>
            </w:rPr>
            <w:t>　</w:t>
          </w:r>
          <w:r>
            <w:rPr>
              <w:lang w:val="zh-CN"/>
            </w:rPr>
            <w:t>录</w:t>
          </w:r>
        </w:p>
        <w:p>
          <w:pPr>
            <w:pStyle w:val="11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HYPERLINK \l _Toc11290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一</w:t>
          </w:r>
          <w:r>
            <w:rPr>
              <w:rFonts w:hint="eastAsia" w:asciiTheme="majorHAnsi" w:hAnsiTheme="majorHAnsi" w:eastAsiaTheme="majorEastAsia" w:cstheme="majorBidi"/>
              <w:bCs/>
              <w:kern w:val="2"/>
              <w:szCs w:val="32"/>
              <w:lang w:val="en-US" w:eastAsia="zh-CN" w:bidi="ar-SA"/>
            </w:rPr>
            <w:t xml:space="preserve">、 </w:t>
          </w:r>
          <w:r>
            <w:rPr>
              <w:rFonts w:hint="eastAsia" w:ascii="Times New Roman" w:hAnsi="Times New Roman" w:eastAsia="宋体" w:cstheme="minorBidi"/>
              <w:kern w:val="2"/>
              <w:szCs w:val="22"/>
              <w:lang w:val="en-US" w:eastAsia="zh-CN" w:bidi="ar-SA"/>
            </w:rPr>
            <w:t>注册账号和登录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_Toc11290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1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eastAsia" w:asciiTheme="majorHAnsi" w:hAnsiTheme="majorHAnsi" w:eastAsiaTheme="majorEastAsia" w:cstheme="majorBidi"/>
              <w:bCs/>
              <w:kern w:val="2"/>
              <w:szCs w:val="32"/>
              <w:lang w:val="en-US" w:eastAsia="zh-CN" w:bidi="ar-SA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instrText xml:space="preserve"> HYPERLINK \l _Toc12577 </w:instrText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1</w:t>
          </w:r>
          <w:r>
            <w:rPr>
              <w:rFonts w:hint="default" w:asciiTheme="minorHAnsi" w:hAnsiTheme="minorHAnsi" w:eastAsiaTheme="minorEastAsia" w:cstheme="minorBidi"/>
              <w:bCs/>
              <w:kern w:val="2"/>
              <w:szCs w:val="24"/>
              <w:lang w:val="en-US" w:eastAsia="zh-CN" w:bidi="ar-SA"/>
            </w:rPr>
            <w:t xml:space="preserve">. </w:t>
          </w:r>
          <w:r>
            <w:rPr>
              <w:rFonts w:hint="eastAsia" w:ascii="Times New Roman" w:hAnsi="Times New Roman" w:eastAsia="宋体" w:cstheme="minorBidi"/>
              <w:kern w:val="2"/>
              <w:szCs w:val="24"/>
              <w:lang w:val="en-US" w:eastAsia="zh-CN" w:bidi="ar-SA"/>
            </w:rPr>
            <w:t>注册通行证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_Toc12577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1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default" w:asciiTheme="minorHAnsi" w:hAnsiTheme="minorHAnsi" w:eastAsiaTheme="minorEastAsia" w:cstheme="minorBidi"/>
              <w:bCs/>
              <w:kern w:val="2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instrText xml:space="preserve"> HYPERLINK \l _Toc6953 </w:instrText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2</w:t>
          </w:r>
          <w:r>
            <w:rPr>
              <w:rFonts w:hint="default" w:asciiTheme="minorHAnsi" w:hAnsiTheme="minorHAnsi" w:eastAsiaTheme="minorEastAsia" w:cstheme="minorBidi"/>
              <w:bCs/>
              <w:kern w:val="2"/>
              <w:szCs w:val="24"/>
              <w:lang w:val="en-US" w:eastAsia="zh-CN" w:bidi="ar-SA"/>
            </w:rPr>
            <w:t xml:space="preserve">. </w:t>
          </w:r>
          <w:r>
            <w:rPr>
              <w:rFonts w:hint="eastAsia" w:ascii="Times New Roman" w:hAnsi="Times New Roman" w:eastAsia="宋体" w:cstheme="minorBidi"/>
              <w:kern w:val="2"/>
              <w:szCs w:val="24"/>
              <w:lang w:val="en-US" w:eastAsia="zh-CN" w:bidi="ar-SA"/>
            </w:rPr>
            <w:t>登录系统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_Toc6953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3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default" w:asciiTheme="minorHAnsi" w:hAnsiTheme="minorHAnsi" w:eastAsiaTheme="minorEastAsia" w:cstheme="minorBidi"/>
              <w:bCs/>
              <w:kern w:val="2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instrText xml:space="preserve"> HYPERLINK \l _Toc23719 </w:instrText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3</w:t>
          </w:r>
          <w:r>
            <w:rPr>
              <w:rFonts w:hint="default" w:asciiTheme="minorHAnsi" w:hAnsiTheme="minorHAnsi" w:eastAsiaTheme="minorEastAsia" w:cstheme="minorBidi"/>
              <w:bCs/>
              <w:kern w:val="2"/>
              <w:szCs w:val="24"/>
              <w:lang w:val="en-US" w:eastAsia="zh-CN" w:bidi="ar-SA"/>
            </w:rPr>
            <w:t xml:space="preserve">. </w:t>
          </w:r>
          <w:r>
            <w:rPr>
              <w:rFonts w:hint="eastAsia" w:ascii="Times New Roman" w:hAnsi="Times New Roman" w:eastAsia="宋体" w:cstheme="minorBidi"/>
              <w:kern w:val="2"/>
              <w:szCs w:val="24"/>
              <w:lang w:val="en-US" w:eastAsia="zh-CN" w:bidi="ar-SA"/>
            </w:rPr>
            <w:t>欢迎界面介绍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_Toc23719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3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default" w:asciiTheme="minorHAnsi" w:hAnsiTheme="minorHAnsi" w:eastAsiaTheme="minorEastAsia" w:cstheme="minorBidi"/>
              <w:bCs/>
              <w:kern w:val="2"/>
              <w:szCs w:val="24"/>
              <w:lang w:val="en-US" w:eastAsia="zh-CN" w:bidi="ar-SA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instrText xml:space="preserve"> HYPERLINK \l _Toc6299 </w:instrText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二</w:t>
          </w:r>
          <w:r>
            <w:rPr>
              <w:rFonts w:hint="eastAsia" w:asciiTheme="majorHAnsi" w:hAnsiTheme="majorHAnsi" w:eastAsiaTheme="majorEastAsia" w:cstheme="majorBidi"/>
              <w:bCs/>
              <w:kern w:val="2"/>
              <w:szCs w:val="32"/>
              <w:lang w:val="en-US" w:eastAsia="zh-CN" w:bidi="ar-SA"/>
            </w:rPr>
            <w:t xml:space="preserve">、 </w:t>
          </w:r>
          <w:r>
            <w:rPr>
              <w:rFonts w:hint="eastAsia" w:ascii="Times New Roman" w:hAnsi="Times New Roman" w:eastAsia="宋体" w:cstheme="minorBidi"/>
              <w:kern w:val="2"/>
              <w:szCs w:val="22"/>
              <w:lang w:val="en-US" w:eastAsia="zh-CN" w:bidi="ar-SA"/>
            </w:rPr>
            <w:t>考试报名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_Toc6299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3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eastAsia" w:asciiTheme="majorHAnsi" w:hAnsiTheme="majorHAnsi" w:eastAsiaTheme="majorEastAsia" w:cstheme="majorBidi"/>
              <w:bCs/>
              <w:kern w:val="2"/>
              <w:szCs w:val="32"/>
              <w:lang w:val="en-US" w:eastAsia="zh-CN" w:bidi="ar-SA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instrText xml:space="preserve"> HYPERLINK \l _Toc9703 </w:instrText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1</w:t>
          </w:r>
          <w:r>
            <w:rPr>
              <w:rFonts w:hint="default" w:ascii="Times New Roman" w:hAnsi="Times New Roman" w:eastAsia="宋体" w:cstheme="minorBidi"/>
              <w:kern w:val="2"/>
              <w:szCs w:val="24"/>
              <w:lang w:val="en-US" w:eastAsia="zh-CN" w:bidi="ar-SA"/>
            </w:rPr>
            <w:t xml:space="preserve">. </w:t>
          </w:r>
          <w:r>
            <w:rPr>
              <w:rFonts w:hint="eastAsia" w:ascii="Times New Roman" w:hAnsi="Times New Roman" w:eastAsia="宋体" w:cstheme="minorBidi"/>
              <w:kern w:val="2"/>
              <w:szCs w:val="24"/>
              <w:lang w:val="en-US" w:eastAsia="zh-CN" w:bidi="ar-SA"/>
            </w:rPr>
            <w:t>阅读报名协议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_Toc9703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3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default" w:ascii="Times New Roman" w:hAnsi="Times New Roman" w:eastAsia="宋体" w:cstheme="minorBidi"/>
              <w:bCs/>
              <w:kern w:val="2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instrText xml:space="preserve"> HYPERLINK \l _Toc13119 </w:instrText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2</w:t>
          </w:r>
          <w:r>
            <w:rPr>
              <w:rFonts w:hint="default" w:ascii="Times New Roman" w:hAnsi="Times New Roman" w:eastAsia="宋体" w:cstheme="minorBidi"/>
              <w:kern w:val="2"/>
              <w:szCs w:val="24"/>
              <w:lang w:val="en-US" w:eastAsia="zh-CN" w:bidi="ar-SA"/>
            </w:rPr>
            <w:t xml:space="preserve">. </w:t>
          </w:r>
          <w:r>
            <w:rPr>
              <w:rFonts w:hint="eastAsia" w:ascii="Times New Roman" w:hAnsi="Times New Roman" w:eastAsia="宋体" w:cstheme="minorBidi"/>
              <w:kern w:val="2"/>
              <w:szCs w:val="24"/>
              <w:lang w:val="en-US" w:eastAsia="zh-CN" w:bidi="ar-SA"/>
            </w:rPr>
            <w:t>填写基本信息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_Toc13119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4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default" w:ascii="Times New Roman" w:hAnsi="Times New Roman" w:eastAsia="宋体" w:cstheme="minorBidi"/>
              <w:bCs/>
              <w:kern w:val="2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instrText xml:space="preserve"> HYPERLINK \l _Toc16753 </w:instrText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3</w:t>
          </w:r>
          <w:r>
            <w:rPr>
              <w:rFonts w:hint="default" w:ascii="Times New Roman" w:hAnsi="Times New Roman" w:eastAsia="宋体" w:cstheme="minorBidi"/>
              <w:kern w:val="2"/>
              <w:szCs w:val="24"/>
              <w:lang w:val="en-US" w:eastAsia="zh-CN" w:bidi="ar-SA"/>
            </w:rPr>
            <w:t xml:space="preserve">. </w:t>
          </w:r>
          <w:r>
            <w:rPr>
              <w:rFonts w:hint="eastAsia" w:ascii="Times New Roman" w:hAnsi="Times New Roman" w:eastAsia="宋体" w:cstheme="minorBidi"/>
              <w:kern w:val="2"/>
              <w:szCs w:val="24"/>
              <w:lang w:val="en-US" w:eastAsia="zh-CN" w:bidi="ar-SA"/>
            </w:rPr>
            <w:t>报考科目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_Toc16753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5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default" w:ascii="Times New Roman" w:hAnsi="Times New Roman" w:eastAsia="宋体" w:cstheme="minorBidi"/>
              <w:bCs/>
              <w:kern w:val="2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instrText xml:space="preserve"> HYPERLINK \l _Toc12892 </w:instrText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4</w:t>
          </w:r>
          <w:r>
            <w:rPr>
              <w:rFonts w:hint="default" w:ascii="Times New Roman" w:hAnsi="Times New Roman" w:eastAsia="宋体" w:cstheme="minorBidi"/>
              <w:kern w:val="2"/>
              <w:szCs w:val="24"/>
              <w:lang w:val="en-US" w:eastAsia="zh-CN" w:bidi="ar-SA"/>
            </w:rPr>
            <w:t xml:space="preserve">. </w:t>
          </w:r>
          <w:r>
            <w:rPr>
              <w:rFonts w:hint="eastAsia" w:ascii="Times New Roman" w:hAnsi="Times New Roman" w:eastAsia="宋体" w:cstheme="minorBidi"/>
              <w:kern w:val="2"/>
              <w:szCs w:val="24"/>
              <w:lang w:val="en-US" w:eastAsia="zh-CN" w:bidi="ar-SA"/>
            </w:rPr>
            <w:t>上传照片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_Toc12892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5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default" w:ascii="Times New Roman" w:hAnsi="Times New Roman" w:eastAsia="宋体" w:cstheme="minorBidi"/>
              <w:bCs/>
              <w:kern w:val="2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instrText xml:space="preserve"> HYPERLINK \l _Toc4738 </w:instrText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5</w:t>
          </w:r>
          <w:r>
            <w:rPr>
              <w:rFonts w:hint="default" w:ascii="Times New Roman" w:hAnsi="Times New Roman" w:eastAsia="宋体" w:cstheme="minorBidi"/>
              <w:kern w:val="2"/>
              <w:szCs w:val="24"/>
              <w:lang w:val="en-US" w:eastAsia="zh-CN" w:bidi="ar-SA"/>
            </w:rPr>
            <w:t xml:space="preserve">. </w:t>
          </w:r>
          <w:r>
            <w:rPr>
              <w:rFonts w:hint="eastAsia" w:ascii="Times New Roman" w:hAnsi="Times New Roman" w:eastAsia="宋体" w:cstheme="minorBidi"/>
              <w:kern w:val="2"/>
              <w:szCs w:val="24"/>
              <w:lang w:val="en-US" w:eastAsia="zh-CN" w:bidi="ar-SA"/>
            </w:rPr>
            <w:t>申请信息审核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_Toc4738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6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default" w:ascii="Times New Roman" w:hAnsi="Times New Roman" w:eastAsia="宋体" w:cstheme="minorBidi"/>
              <w:bCs/>
              <w:kern w:val="2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instrText xml:space="preserve"> HYPERLINK \l _Toc2312 </w:instrText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6</w:t>
          </w:r>
          <w:r>
            <w:rPr>
              <w:rFonts w:hint="default" w:ascii="Times New Roman" w:hAnsi="Times New Roman" w:eastAsia="宋体" w:cstheme="minorBidi"/>
              <w:kern w:val="2"/>
              <w:szCs w:val="24"/>
              <w:lang w:val="en-US" w:eastAsia="zh-CN" w:bidi="ar-SA"/>
            </w:rPr>
            <w:t xml:space="preserve">. </w:t>
          </w:r>
          <w:r>
            <w:rPr>
              <w:rFonts w:hint="eastAsia" w:ascii="Times New Roman" w:hAnsi="Times New Roman" w:eastAsia="宋体" w:cstheme="minorBidi"/>
              <w:kern w:val="2"/>
              <w:szCs w:val="24"/>
              <w:lang w:val="en-US" w:eastAsia="zh-CN" w:bidi="ar-SA"/>
            </w:rPr>
            <w:t>网上支付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_Toc2312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8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default" w:ascii="Times New Roman" w:hAnsi="Times New Roman" w:eastAsia="宋体" w:cstheme="minorBidi"/>
              <w:bCs/>
              <w:kern w:val="2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instrText xml:space="preserve"> HYPERLINK \l _Toc4481 </w:instrText>
          </w: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7</w:t>
          </w:r>
          <w:r>
            <w:rPr>
              <w:rFonts w:hint="default" w:ascii="Times New Roman" w:hAnsi="Times New Roman" w:eastAsia="宋体" w:cstheme="minorBidi"/>
              <w:kern w:val="2"/>
              <w:szCs w:val="24"/>
              <w:lang w:val="en-US" w:eastAsia="zh-CN" w:bidi="ar-SA"/>
            </w:rPr>
            <w:t xml:space="preserve">. </w:t>
          </w:r>
          <w:r>
            <w:rPr>
              <w:rFonts w:hint="eastAsia" w:ascii="Times New Roman" w:hAnsi="Times New Roman" w:eastAsia="宋体" w:cstheme="minorBidi"/>
              <w:kern w:val="2"/>
              <w:szCs w:val="24"/>
              <w:lang w:val="en-US" w:eastAsia="zh-CN" w:bidi="ar-SA"/>
            </w:rPr>
            <w:t>现场确认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ab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begin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instrText xml:space="preserve"> PAGEREF _Toc4481 </w:instrTex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separate"/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t>9</w:t>
          </w:r>
          <w:r>
            <w:rPr>
              <w:rFonts w:ascii="Times New Roman" w:hAnsi="Times New Roman" w:eastAsia="宋体" w:cstheme="minorBidi"/>
              <w:kern w:val="2"/>
              <w:szCs w:val="22"/>
              <w:lang w:val="en-US" w:eastAsia="zh-CN" w:bidi="ar-SA"/>
            </w:rPr>
            <w:fldChar w:fldCharType="end"/>
          </w:r>
          <w:r>
            <w:rPr>
              <w:rFonts w:hint="default" w:ascii="Times New Roman" w:hAnsi="Times New Roman" w:eastAsia="宋体" w:cstheme="minorBidi"/>
              <w:bCs/>
              <w:kern w:val="2"/>
              <w:szCs w:val="24"/>
              <w:lang w:val="en-US" w:eastAsia="zh-CN" w:bidi="ar-SA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sectPr>
              <w:headerReference r:id="rId3" w:type="default"/>
              <w:footerReference r:id="rId4" w:type="default"/>
              <w:pgSz w:w="11906" w:h="16838"/>
              <w:pgMar w:top="1440" w:right="1800" w:bottom="1440" w:left="1800" w:header="851" w:footer="992" w:gutter="0"/>
              <w:pgNumType w:fmt="upperRoman" w:start="1"/>
              <w:cols w:space="425" w:num="1"/>
              <w:docGrid w:type="lines" w:linePitch="312" w:charSpace="0"/>
            </w:sectPr>
          </w:pPr>
          <w:r>
            <w:rPr>
              <w:rFonts w:ascii="Times New Roman" w:hAnsi="Times New Roman" w:eastAsia="宋体" w:cstheme="minorBidi"/>
              <w:bCs/>
              <w:kern w:val="2"/>
              <w:szCs w:val="22"/>
              <w:lang w:val="zh-CN" w:eastAsia="zh-CN" w:bidi="ar-SA"/>
            </w:rPr>
            <w:fldChar w:fldCharType="end"/>
          </w:r>
        </w:p>
      </w:sdtContent>
    </w:sdt>
    <w:p>
      <w:pPr>
        <w:pStyle w:val="3"/>
        <w:numPr>
          <w:ilvl w:val="0"/>
          <w:numId w:val="1"/>
        </w:numPr>
        <w:spacing w:line="415" w:lineRule="auto"/>
      </w:pPr>
      <w:bookmarkStart w:id="0" w:name="_Toc11290"/>
      <w:r>
        <w:rPr>
          <w:rFonts w:hint="eastAsia"/>
        </w:rPr>
        <w:t>注册账号和登录</w:t>
      </w:r>
      <w:bookmarkEnd w:id="0"/>
    </w:p>
    <w:p>
      <w:pPr>
        <w:ind w:firstLine="480"/>
        <w:jc w:val="center"/>
      </w:pPr>
      <w:r>
        <w:drawing>
          <wp:inline distT="0" distB="0" distL="0" distR="0">
            <wp:extent cx="4718050" cy="2722880"/>
            <wp:effectExtent l="0" t="0" r="635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577" cy="272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2"/>
        </w:numPr>
        <w:ind w:firstLineChars="0"/>
        <w:rPr>
          <w:szCs w:val="21"/>
        </w:rPr>
      </w:pPr>
      <w:bookmarkStart w:id="1" w:name="_Toc361643470"/>
      <w:r>
        <w:rPr>
          <w:rFonts w:hint="eastAsia"/>
          <w:szCs w:val="21"/>
        </w:rPr>
        <w:t>考生首次登录系统需要注册登录通行证，若考生有通行证账号，可以直接登录。</w:t>
      </w:r>
    </w:p>
    <w:p>
      <w:pPr>
        <w:pStyle w:val="19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考生也可使用其他账号登录，例如使用“QQ账号”登录。点击</w:t>
      </w:r>
      <w:r>
        <w:drawing>
          <wp:inline distT="0" distB="0" distL="0" distR="0">
            <wp:extent cx="368300" cy="149860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740" cy="15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图标，可根据提示操作，实现登录。</w:t>
      </w:r>
    </w:p>
    <w:p>
      <w:pPr>
        <w:pStyle w:val="19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点击横栏“网上报名公告”按钮，可查看网上报名公告信息。</w:t>
      </w:r>
    </w:p>
    <w:p>
      <w:pPr>
        <w:pStyle w:val="19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点击横栏“网上报名须知及流程”按钮，可查看网上报名须知及流程信息。</w:t>
      </w:r>
    </w:p>
    <w:p>
      <w:pPr>
        <w:pStyle w:val="4"/>
        <w:numPr>
          <w:ilvl w:val="0"/>
          <w:numId w:val="3"/>
        </w:numPr>
        <w:rPr>
          <w:b w:val="0"/>
          <w:sz w:val="24"/>
          <w:szCs w:val="24"/>
        </w:rPr>
      </w:pPr>
      <w:bookmarkStart w:id="2" w:name="_Toc12577"/>
      <w:r>
        <w:rPr>
          <w:rFonts w:hint="eastAsia"/>
          <w:b w:val="0"/>
          <w:sz w:val="24"/>
          <w:szCs w:val="24"/>
        </w:rPr>
        <w:t>注册通行证</w:t>
      </w:r>
      <w:bookmarkEnd w:id="2"/>
    </w:p>
    <w:p>
      <w:pPr>
        <w:spacing w:line="360" w:lineRule="auto"/>
        <w:jc w:val="left"/>
      </w:pPr>
      <w:r>
        <w:drawing>
          <wp:inline distT="0" distB="0" distL="0" distR="0">
            <wp:extent cx="2603500" cy="2747645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1529" cy="275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转到</w:t>
      </w:r>
      <w:r>
        <w:rPr/>
        <w:sym w:font="Wingdings" w:char="F0E0"/>
      </w:r>
      <w:r>
        <w:rPr>
          <w:rFonts w:hint="eastAsia"/>
        </w:rPr>
        <w:t xml:space="preserve"> </w:t>
      </w:r>
      <w:r>
        <w:drawing>
          <wp:inline distT="0" distB="0" distL="0" distR="0">
            <wp:extent cx="2012315" cy="2717800"/>
            <wp:effectExtent l="19050" t="19050" r="26035" b="254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6375" cy="2722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>
      <w:pPr>
        <w:spacing w:line="360" w:lineRule="auto"/>
        <w:jc w:val="left"/>
      </w:pPr>
      <w:r>
        <w:rPr>
          <w:rFonts w:hint="eastAsia"/>
        </w:rPr>
        <w:t>若用户需要修改通行证密码，可按如下步骤：</w:t>
      </w:r>
    </w:p>
    <w:p>
      <w:pPr>
        <w:pStyle w:val="20"/>
        <w:numPr>
          <w:ilvl w:val="0"/>
          <w:numId w:val="4"/>
        </w:numPr>
        <w:ind w:firstLineChars="0"/>
        <w:rPr>
          <w:color w:val="0000FF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在浏览器中打开 </w:t>
      </w:r>
      <w:r>
        <w:fldChar w:fldCharType="begin"/>
      </w:r>
      <w:r>
        <w:instrText xml:space="preserve"> HYPERLINK "http://passport.etest.net.cn/login" </w:instrText>
      </w:r>
      <w:r>
        <w:fldChar w:fldCharType="separate"/>
      </w:r>
      <w:r>
        <w:rPr>
          <w:rStyle w:val="14"/>
          <w:sz w:val="21"/>
          <w:szCs w:val="21"/>
        </w:rPr>
        <w:t>http://passport.etest.net.cn/login</w:t>
      </w:r>
      <w:r>
        <w:rPr>
          <w:rStyle w:val="14"/>
          <w:sz w:val="21"/>
          <w:szCs w:val="21"/>
        </w:rPr>
        <w:fldChar w:fldCharType="end"/>
      </w:r>
    </w:p>
    <w:p>
      <w:pPr>
        <w:ind w:firstLine="105" w:firstLineChars="50"/>
        <w:jc w:val="center"/>
      </w:pPr>
      <w:r>
        <w:drawing>
          <wp:inline distT="0" distB="0" distL="0" distR="0">
            <wp:extent cx="4533900" cy="234505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4141" cy="234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numPr>
          <w:ilvl w:val="0"/>
          <w:numId w:val="4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使用用户自己的账号和密码登录，登录成功后可看到图示界面。</w:t>
      </w:r>
    </w:p>
    <w:p>
      <w:pPr>
        <w:ind w:firstLine="105" w:firstLineChars="50"/>
        <w:jc w:val="center"/>
      </w:pPr>
      <w:r>
        <w:drawing>
          <wp:inline distT="0" distB="0" distL="0" distR="0">
            <wp:extent cx="4603750" cy="2721610"/>
            <wp:effectExtent l="0" t="0" r="635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7407" cy="27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点击修改密码按钮，按照提示修改密码即可。</w:t>
      </w:r>
    </w:p>
    <w:p>
      <w:pPr>
        <w:ind w:firstLine="105" w:firstLineChars="50"/>
        <w:jc w:val="center"/>
      </w:pPr>
      <w:r>
        <w:drawing>
          <wp:inline distT="0" distB="0" distL="0" distR="0">
            <wp:extent cx="4660900" cy="2590800"/>
            <wp:effectExtent l="0" t="0" r="635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58656" cy="258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3"/>
        </w:numPr>
        <w:rPr>
          <w:b w:val="0"/>
          <w:sz w:val="24"/>
          <w:szCs w:val="24"/>
        </w:rPr>
      </w:pPr>
      <w:bookmarkStart w:id="3" w:name="_Toc6953"/>
      <w:r>
        <w:rPr>
          <w:rFonts w:hint="eastAsia"/>
          <w:b w:val="0"/>
          <w:sz w:val="24"/>
          <w:szCs w:val="24"/>
        </w:rPr>
        <w:t>登录系统</w:t>
      </w:r>
      <w:bookmarkEnd w:id="3"/>
    </w:p>
    <w:p>
      <w:pPr>
        <w:pStyle w:val="19"/>
        <w:numPr>
          <w:ilvl w:val="0"/>
          <w:numId w:val="5"/>
        </w:numPr>
        <w:ind w:firstLineChars="0"/>
        <w:rPr>
          <w:szCs w:val="21"/>
        </w:rPr>
      </w:pPr>
      <w:r>
        <w:rPr>
          <w:rFonts w:hint="eastAsia"/>
          <w:szCs w:val="21"/>
        </w:rPr>
        <w:t>在登录框中正确输入账号、密码、验证码，登录系统。或者点击“QQ登录”按钮，使用考生的QQ账号直接登录。</w:t>
      </w:r>
    </w:p>
    <w:p>
      <w:pPr>
        <w:pStyle w:val="19"/>
        <w:numPr>
          <w:ilvl w:val="0"/>
          <w:numId w:val="5"/>
        </w:numPr>
        <w:ind w:firstLineChars="0"/>
        <w:rPr>
          <w:rStyle w:val="21"/>
          <w:kern w:val="2"/>
          <w:sz w:val="21"/>
          <w:szCs w:val="21"/>
        </w:rPr>
      </w:pPr>
      <w:r>
        <w:rPr>
          <w:rFonts w:hint="eastAsia"/>
          <w:szCs w:val="21"/>
        </w:rPr>
        <w:t>首次登录成功后进入系统的个人报名欢迎界面。</w:t>
      </w:r>
    </w:p>
    <w:bookmarkEnd w:id="1"/>
    <w:p>
      <w:pPr>
        <w:pStyle w:val="4"/>
        <w:numPr>
          <w:ilvl w:val="0"/>
          <w:numId w:val="3"/>
        </w:numPr>
        <w:rPr>
          <w:b w:val="0"/>
          <w:sz w:val="24"/>
          <w:szCs w:val="24"/>
        </w:rPr>
      </w:pPr>
      <w:bookmarkStart w:id="4" w:name="_Toc23719"/>
      <w:r>
        <w:rPr>
          <w:rFonts w:hint="eastAsia"/>
          <w:b w:val="0"/>
          <w:sz w:val="24"/>
          <w:szCs w:val="24"/>
        </w:rPr>
        <w:t>欢迎界面介绍</w:t>
      </w:r>
      <w:bookmarkEnd w:id="4"/>
    </w:p>
    <w:p>
      <w:pPr>
        <w:jc w:val="center"/>
      </w:pPr>
      <w:r>
        <w:drawing>
          <wp:inline distT="0" distB="0" distL="0" distR="0">
            <wp:extent cx="5274310" cy="28644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左侧为导航菜单栏，显示系统功能菜单。点击“&lt;&lt;”图标可隐藏整个导航栏；点击各功能栏目可展开或折叠其子菜单；点击子菜单可在右侧主窗口打开其功能页面。</w:t>
      </w:r>
    </w:p>
    <w:p>
      <w:pPr>
        <w:pStyle w:val="20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右侧为主操作窗口栏，可打开多个操作窗口，通过窗口上侧的标签切换或者关闭。</w:t>
      </w:r>
    </w:p>
    <w:p>
      <w:pPr>
        <w:pStyle w:val="20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刚登录系统，主窗口显示当前登录用户和当前进行考试的一些基本信息，方便考生快速了解当前考试信息。上方横栏显示当前登录用户信息、本次考试名称、退出系统按钮。</w:t>
      </w:r>
    </w:p>
    <w:p>
      <w:pPr>
        <w:pStyle w:val="3"/>
        <w:numPr>
          <w:ilvl w:val="0"/>
          <w:numId w:val="1"/>
        </w:numPr>
        <w:spacing w:line="415" w:lineRule="auto"/>
      </w:pPr>
      <w:bookmarkStart w:id="5" w:name="_Toc6299"/>
      <w:r>
        <w:rPr>
          <w:rFonts w:hint="eastAsia"/>
        </w:rPr>
        <w:t>考试报名</w:t>
      </w:r>
      <w:bookmarkEnd w:id="5"/>
    </w:p>
    <w:p>
      <w:pPr>
        <w:pStyle w:val="19"/>
        <w:numPr>
          <w:ilvl w:val="0"/>
          <w:numId w:val="7"/>
        </w:numPr>
        <w:ind w:left="357" w:hanging="357" w:firstLineChars="0"/>
        <w:outlineLvl w:val="2"/>
        <w:rPr>
          <w:sz w:val="24"/>
          <w:szCs w:val="24"/>
        </w:rPr>
      </w:pPr>
      <w:bookmarkStart w:id="6" w:name="_Toc9703"/>
      <w:r>
        <w:rPr>
          <w:rFonts w:hint="eastAsia"/>
          <w:sz w:val="24"/>
          <w:szCs w:val="24"/>
        </w:rPr>
        <w:t>阅读报名协议</w:t>
      </w:r>
      <w:bookmarkEnd w:id="6"/>
    </w:p>
    <w:p>
      <w:pPr>
        <w:pStyle w:val="19"/>
        <w:ind w:left="360" w:firstLine="0" w:firstLineChars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>
      <w:pPr>
        <w:jc w:val="center"/>
      </w:pPr>
      <w:r>
        <w:drawing>
          <wp:inline distT="0" distB="0" distL="0" distR="0">
            <wp:extent cx="5274310" cy="33191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ind w:left="360" w:firstLine="0" w:firstLineChars="0"/>
      </w:pPr>
    </w:p>
    <w:p>
      <w:pPr>
        <w:pStyle w:val="19"/>
        <w:numPr>
          <w:ilvl w:val="0"/>
          <w:numId w:val="7"/>
        </w:numPr>
        <w:ind w:left="357" w:hanging="357" w:firstLineChars="0"/>
        <w:outlineLvl w:val="2"/>
        <w:rPr>
          <w:sz w:val="24"/>
          <w:szCs w:val="24"/>
        </w:rPr>
      </w:pPr>
      <w:bookmarkStart w:id="7" w:name="_Toc13119"/>
      <w:r>
        <w:rPr>
          <w:rFonts w:hint="eastAsia"/>
          <w:sz w:val="24"/>
          <w:szCs w:val="24"/>
        </w:rPr>
        <w:t>填写基本信息</w:t>
      </w:r>
      <w:bookmarkEnd w:id="7"/>
    </w:p>
    <w:p>
      <w:pPr>
        <w:pStyle w:val="19"/>
        <w:ind w:left="360" w:firstLine="0" w:firstLineChars="0"/>
      </w:pPr>
      <w:r>
        <w:rPr>
          <w:rFonts w:hint="eastAsia"/>
        </w:rPr>
        <w:t>填入相关信息，带有红色“</w:t>
      </w:r>
      <w:r>
        <w:rPr>
          <w:rFonts w:hint="eastAsia"/>
          <w:color w:val="FF0000"/>
          <w:sz w:val="30"/>
          <w:szCs w:val="30"/>
        </w:rPr>
        <w:t>*</w:t>
      </w:r>
      <w:r>
        <w:rPr>
          <w:rFonts w:hint="eastAsia"/>
        </w:rPr>
        <w:t>”号标记的信息为必填项。</w:t>
      </w:r>
    </w:p>
    <w:p>
      <w:pPr>
        <w:jc w:val="center"/>
      </w:pPr>
      <w:r>
        <w:drawing>
          <wp:inline distT="0" distB="0" distL="0" distR="0">
            <wp:extent cx="5274310" cy="4535805"/>
            <wp:effectExtent l="0" t="0" r="2540" b="0"/>
            <wp:docPr id="3" name="图片 3" descr="C:\Users\Administrator\Desktop\新建文件夹 (2)\考生基本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新建文件夹 (2)\考生基本信息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7"/>
        </w:numPr>
        <w:ind w:left="357" w:hanging="357" w:firstLineChars="0"/>
        <w:outlineLvl w:val="2"/>
        <w:rPr>
          <w:sz w:val="24"/>
          <w:szCs w:val="24"/>
        </w:rPr>
      </w:pPr>
      <w:bookmarkStart w:id="8" w:name="_Toc16753"/>
      <w:r>
        <w:rPr>
          <w:rFonts w:hint="eastAsia"/>
          <w:sz w:val="24"/>
          <w:szCs w:val="24"/>
        </w:rPr>
        <w:t>报考科目</w:t>
      </w:r>
      <w:bookmarkEnd w:id="8"/>
    </w:p>
    <w:p>
      <w:pPr>
        <w:pStyle w:val="19"/>
        <w:ind w:left="360" w:firstLine="0" w:firstLineChars="0"/>
      </w:pPr>
      <w:r>
        <w:rPr>
          <w:rFonts w:hint="eastAsia"/>
        </w:rPr>
        <w:t>考生首先选择报考考点，选择完考点后，系统会加载出该考点的所有开考科目。</w:t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0" distR="0">
            <wp:extent cx="5274310" cy="454088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选择完要报考的考点，勾选要报考的科目。考生至少要报考一科，也可报考多科，选择完科目后，科目列表下方会显示已报考的科目。</w:t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考生</w:t>
      </w:r>
      <w:r>
        <w:rPr>
          <w:rFonts w:hint="eastAsia"/>
          <w:color w:val="FF0000"/>
          <w:sz w:val="21"/>
          <w:szCs w:val="21"/>
        </w:rPr>
        <w:t>确认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基本信息和报考科目无误后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>
      <w:pPr>
        <w:jc w:val="center"/>
      </w:pPr>
      <w:r>
        <w:drawing>
          <wp:inline distT="0" distB="0" distL="0" distR="0">
            <wp:extent cx="5274310" cy="10839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7"/>
        </w:numPr>
        <w:ind w:left="357" w:hanging="357" w:firstLineChars="0"/>
        <w:outlineLvl w:val="2"/>
        <w:rPr>
          <w:sz w:val="24"/>
          <w:szCs w:val="24"/>
        </w:rPr>
      </w:pPr>
      <w:bookmarkStart w:id="9" w:name="_Toc12892"/>
      <w:r>
        <w:rPr>
          <w:rFonts w:hint="eastAsia"/>
          <w:sz w:val="24"/>
          <w:szCs w:val="24"/>
        </w:rPr>
        <w:t>上传照片</w:t>
      </w:r>
      <w:bookmarkEnd w:id="9"/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>
      <w:pPr>
        <w:jc w:val="center"/>
      </w:pPr>
      <w:r>
        <w:drawing>
          <wp:inline distT="0" distB="0" distL="0" distR="0">
            <wp:extent cx="5274310" cy="1113155"/>
            <wp:effectExtent l="0" t="0" r="2540" b="0"/>
            <wp:docPr id="15" name="图片 15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新建文件夹 (2)\考生填完基本信息后弹出框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照片规格</w:t>
      </w:r>
      <w:r>
        <w:rPr>
          <w:rFonts w:hint="eastAsia"/>
          <w:sz w:val="21"/>
          <w:szCs w:val="21"/>
        </w:rPr>
        <w:t>：</w:t>
      </w:r>
    </w:p>
    <w:p>
      <w:pPr>
        <w:pStyle w:val="2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照片应为考生本人近期正面免冠彩色证件照。</w:t>
      </w:r>
    </w:p>
    <w:p>
      <w:pPr>
        <w:pStyle w:val="2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成像要求：成像区上部空1/10，头部占7/10，肩部占1/5，左右各空1/10。采集图像大小最小为192*144（高*宽），彩色，成像区大小为48mm*33mm(高*宽)。</w:t>
      </w:r>
    </w:p>
    <w:p>
      <w:pPr>
        <w:pStyle w:val="2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文件格式要求：要求存储为jpg格式，图像文件名为*.jpg。</w:t>
      </w:r>
    </w:p>
    <w:p>
      <w:pPr>
        <w:pStyle w:val="2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文件大小要求：20KB-200KB。</w:t>
      </w:r>
    </w:p>
    <w:p>
      <w:pPr>
        <w:pStyle w:val="2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考生应上传本人清晰、正置的照片，</w:t>
      </w:r>
      <w:r>
        <w:rPr>
          <w:rFonts w:hint="eastAsia"/>
          <w:color w:val="FF0000"/>
          <w:sz w:val="21"/>
          <w:szCs w:val="21"/>
        </w:rPr>
        <w:t>不允许上传侧置或倒置的照片</w:t>
      </w:r>
      <w:r>
        <w:rPr>
          <w:rFonts w:hint="eastAsia"/>
          <w:sz w:val="21"/>
          <w:szCs w:val="21"/>
        </w:rPr>
        <w:t>。</w:t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>
      <w:pPr>
        <w:jc w:val="center"/>
      </w:pPr>
      <w:r>
        <w:drawing>
          <wp:inline distT="0" distB="0" distL="0" distR="0">
            <wp:extent cx="5274310" cy="925830"/>
            <wp:effectExtent l="0" t="0" r="254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如果考生发现不正确的信息，可点击“修改报考信息”按钮，修改基本信息或报考科目。考生可点击“修改照片”按钮修改照片。</w:t>
      </w:r>
    </w:p>
    <w:p>
      <w:pPr>
        <w:jc w:val="center"/>
      </w:pPr>
      <w:r>
        <w:drawing>
          <wp:inline distT="0" distB="0" distL="0" distR="0">
            <wp:extent cx="2213610" cy="2470150"/>
            <wp:effectExtent l="0" t="0" r="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13822" cy="246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0" distR="0">
            <wp:extent cx="2819400" cy="22891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22349" cy="229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pStyle w:val="19"/>
        <w:numPr>
          <w:ilvl w:val="0"/>
          <w:numId w:val="7"/>
        </w:numPr>
        <w:ind w:left="357" w:hanging="357" w:firstLineChars="0"/>
        <w:outlineLvl w:val="2"/>
        <w:rPr>
          <w:sz w:val="24"/>
          <w:szCs w:val="24"/>
        </w:rPr>
      </w:pPr>
      <w:bookmarkStart w:id="10" w:name="_Toc4738"/>
      <w:r>
        <w:rPr>
          <w:rFonts w:hint="eastAsia"/>
          <w:sz w:val="24"/>
          <w:szCs w:val="24"/>
          <w:lang w:eastAsia="zh-CN"/>
        </w:rPr>
        <w:t>申请信息审核</w:t>
      </w:r>
      <w:bookmarkEnd w:id="10"/>
    </w:p>
    <w:p>
      <w:pPr>
        <w:pStyle w:val="20"/>
        <w:ind w:left="0" w:leftChars="0" w:firstLine="0" w:firstLineChars="0"/>
        <w:rPr>
          <w:rFonts w:hint="eastAsia" w:cstheme="minorBidi"/>
          <w:kern w:val="0"/>
          <w:sz w:val="21"/>
          <w:szCs w:val="21"/>
          <w:lang w:val="en-US" w:eastAsia="zh-CN" w:bidi="ar-SA"/>
        </w:rPr>
      </w:pPr>
      <w:r>
        <w:rPr>
          <w:rFonts w:hint="eastAsia"/>
          <w:sz w:val="21"/>
          <w:szCs w:val="21"/>
          <w:lang w:val="en-US" w:eastAsia="zh-CN"/>
        </w:rPr>
        <w:t xml:space="preserve">    如果考生报考的考点，开启了信息审核功能，当</w:t>
      </w:r>
      <w:r>
        <w:rPr>
          <w:rFonts w:hint="eastAsia"/>
          <w:sz w:val="21"/>
          <w:szCs w:val="21"/>
        </w:rPr>
        <w:t>考生上传照片以及报考科目信息检查无误后</w:t>
      </w:r>
      <w:r>
        <w:rPr>
          <w:rFonts w:hint="eastAsia" w:ascii="Times New Roman" w:hAnsi="Times New Roman" w:eastAsia="宋体" w:cstheme="minorBidi"/>
          <w:kern w:val="0"/>
          <w:sz w:val="21"/>
          <w:szCs w:val="21"/>
          <w:lang w:val="en-US" w:eastAsia="zh-CN" w:bidi="ar-SA"/>
        </w:rPr>
        <w:t>，</w:t>
      </w:r>
      <w:r>
        <w:rPr>
          <w:rFonts w:hint="eastAsia" w:cstheme="minorBidi"/>
          <w:kern w:val="0"/>
          <w:sz w:val="21"/>
          <w:szCs w:val="21"/>
          <w:lang w:val="en-US" w:eastAsia="zh-CN" w:bidi="ar-SA"/>
        </w:rPr>
        <w:t>需要点击“申请信息审核”按钮。</w:t>
      </w:r>
    </w:p>
    <w:p>
      <w:pPr>
        <w:jc w:val="center"/>
      </w:pPr>
      <w:r>
        <w:drawing>
          <wp:inline distT="0" distB="0" distL="114300" distR="114300">
            <wp:extent cx="5266055" cy="1186815"/>
            <wp:effectExtent l="0" t="0" r="10795" b="133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点击“申请信息审核”按钮时，会出现提示信息；</w:t>
      </w:r>
    </w:p>
    <w:p>
      <w:pPr>
        <w:jc w:val="center"/>
      </w:pPr>
      <w:r>
        <w:drawing>
          <wp:inline distT="0" distB="0" distL="114300" distR="114300">
            <wp:extent cx="5200015" cy="1504950"/>
            <wp:effectExtent l="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点击“确定”后，审核状态会变成“待审核”状态；</w:t>
      </w:r>
    </w:p>
    <w:p>
      <w:pPr>
        <w:jc w:val="center"/>
      </w:pPr>
      <w:r>
        <w:drawing>
          <wp:inline distT="0" distB="0" distL="114300" distR="114300">
            <wp:extent cx="5269230" cy="1123315"/>
            <wp:effectExtent l="0" t="0" r="762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rFonts w:hint="eastAsia"/>
          <w:color w:val="auto"/>
          <w:sz w:val="21"/>
          <w:szCs w:val="21"/>
          <w:lang w:eastAsia="zh-CN"/>
        </w:rPr>
      </w:pPr>
      <w:r>
        <w:rPr>
          <w:rFonts w:hint="eastAsia"/>
          <w:color w:val="auto"/>
          <w:sz w:val="21"/>
          <w:szCs w:val="21"/>
          <w:lang w:eastAsia="zh-CN"/>
        </w:rPr>
        <w:t>如果考点审核未通过，考生需对自己的报名信息或者照片信息进行修改，再次提交审核；</w:t>
      </w:r>
    </w:p>
    <w:p>
      <w:pPr>
        <w:jc w:val="center"/>
      </w:pPr>
      <w:r>
        <w:drawing>
          <wp:inline distT="0" distB="0" distL="114300" distR="114300">
            <wp:extent cx="5270500" cy="1180465"/>
            <wp:effectExtent l="0" t="0" r="6350" b="6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rFonts w:hint="eastAsia"/>
          <w:color w:val="auto"/>
          <w:sz w:val="21"/>
          <w:szCs w:val="21"/>
          <w:lang w:eastAsia="zh-CN"/>
        </w:rPr>
      </w:pPr>
      <w:r>
        <w:rPr>
          <w:rFonts w:hint="eastAsia"/>
          <w:color w:val="auto"/>
          <w:sz w:val="21"/>
          <w:szCs w:val="21"/>
          <w:lang w:eastAsia="zh-CN"/>
        </w:rPr>
        <w:t>如果考点审核已通过，考生信息和照片将不能够进行更改并且需要在</w:t>
      </w:r>
      <w:r>
        <w:rPr>
          <w:rFonts w:hint="eastAsia"/>
          <w:color w:val="auto"/>
          <w:sz w:val="21"/>
          <w:szCs w:val="21"/>
          <w:lang w:val="en-US" w:eastAsia="zh-CN"/>
        </w:rPr>
        <w:t>24小时内进行网上支付</w:t>
      </w:r>
      <w:r>
        <w:rPr>
          <w:rFonts w:hint="eastAsia"/>
          <w:color w:val="auto"/>
          <w:sz w:val="21"/>
          <w:szCs w:val="21"/>
          <w:lang w:eastAsia="zh-CN"/>
        </w:rPr>
        <w:t>；</w:t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5269230" cy="1113790"/>
            <wp:effectExtent l="0" t="0" r="7620" b="1016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7"/>
        </w:numPr>
        <w:ind w:left="357" w:hanging="357" w:firstLineChars="0"/>
        <w:outlineLvl w:val="2"/>
        <w:rPr>
          <w:sz w:val="24"/>
          <w:szCs w:val="24"/>
        </w:rPr>
      </w:pPr>
      <w:bookmarkStart w:id="11" w:name="_Toc2312"/>
      <w:r>
        <w:rPr>
          <w:rFonts w:hint="eastAsia"/>
          <w:sz w:val="24"/>
          <w:szCs w:val="24"/>
        </w:rPr>
        <w:t>网上支付</w:t>
      </w:r>
      <w:bookmarkEnd w:id="11"/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考生上传照片以及报考科目信息检查无误后，可点击报名状态，系统会跳转到支付按钮区域。</w:t>
      </w:r>
    </w:p>
    <w:p>
      <w:r>
        <w:drawing>
          <wp:inline distT="0" distB="0" distL="0" distR="0">
            <wp:extent cx="5274310" cy="735965"/>
            <wp:effectExtent l="0" t="0" r="2540" b="698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   </w:t>
      </w:r>
      <w:r>
        <w:drawing>
          <wp:inline distT="0" distB="0" distL="114300" distR="114300">
            <wp:extent cx="5273040" cy="1416685"/>
            <wp:effectExtent l="0" t="0" r="381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 “支付”按钮，系统会跳转到支付平台，选择银行，根据系统提示填入相关银行信息进行支付。</w:t>
      </w:r>
    </w:p>
    <w:p>
      <w:r>
        <w:drawing>
          <wp:inline distT="0" distB="0" distL="114300" distR="114300">
            <wp:extent cx="5269230" cy="3181350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20"/>
        <w:ind w:firstLine="480"/>
      </w:pPr>
      <w:r>
        <w:rPr>
          <w:rFonts w:hint="eastAsia"/>
        </w:rPr>
        <w:t>支付完成后，根据系统提示信息点击相关按钮。如果支付遇到问题，请重新 支付。</w:t>
      </w:r>
    </w:p>
    <w:p>
      <w:r>
        <w:rPr>
          <w:rFonts w:hint="eastAsia"/>
        </w:rPr>
        <w:drawing>
          <wp:inline distT="0" distB="0" distL="0" distR="0">
            <wp:extent cx="5274310" cy="1611630"/>
            <wp:effectExtent l="0" t="0" r="2540" b="762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如果已经支付，但报考状态还是显示 “未支付”，请点击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我已支付，更新支付信息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。系统会根据报考信息，更新报考状态。</w:t>
      </w:r>
    </w:p>
    <w:p>
      <w:r>
        <w:drawing>
          <wp:inline distT="0" distB="0" distL="0" distR="0">
            <wp:extent cx="5274310" cy="1654175"/>
            <wp:effectExtent l="0" t="0" r="254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ind w:firstLine="480"/>
      </w:pPr>
      <w:r>
        <w:rPr>
          <w:rFonts w:hint="eastAsia"/>
        </w:rPr>
        <w:t>根据系统提示信息点击相关按钮。</w:t>
      </w:r>
    </w:p>
    <w:p>
      <w:r>
        <w:drawing>
          <wp:inline distT="0" distB="0" distL="0" distR="0">
            <wp:extent cx="5274310" cy="854075"/>
            <wp:effectExtent l="0" t="0" r="2540" b="317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9"/>
        </w:numPr>
        <w:ind w:firstLineChars="0"/>
        <w:rPr>
          <w:vanish/>
        </w:rPr>
      </w:pPr>
    </w:p>
    <w:p>
      <w:pPr>
        <w:pStyle w:val="19"/>
        <w:numPr>
          <w:ilvl w:val="0"/>
          <w:numId w:val="9"/>
        </w:numPr>
        <w:ind w:firstLineChars="0"/>
        <w:rPr>
          <w:vanish/>
        </w:rPr>
      </w:pPr>
    </w:p>
    <w:p>
      <w:pPr>
        <w:pStyle w:val="19"/>
        <w:numPr>
          <w:ilvl w:val="0"/>
          <w:numId w:val="9"/>
        </w:numPr>
        <w:ind w:firstLineChars="0"/>
        <w:rPr>
          <w:vanish/>
        </w:rPr>
      </w:pPr>
    </w:p>
    <w:p>
      <w:pPr>
        <w:pStyle w:val="19"/>
        <w:numPr>
          <w:ilvl w:val="0"/>
          <w:numId w:val="9"/>
        </w:numPr>
        <w:ind w:firstLineChars="0"/>
        <w:rPr>
          <w:vanish/>
        </w:rPr>
      </w:pPr>
    </w:p>
    <w:p>
      <w:pPr>
        <w:pStyle w:val="19"/>
        <w:numPr>
          <w:ilvl w:val="0"/>
          <w:numId w:val="9"/>
        </w:numPr>
        <w:ind w:firstLineChars="0"/>
        <w:rPr>
          <w:vanish/>
        </w:rPr>
      </w:pP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支付完成后，考生可点击页面下方的“打印下载报名登记表”按钮，下载考生本人的报名登记表。</w:t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考生可在打印准考证有效时间内点击“打印下载准考证”按钮下载准考证。</w:t>
      </w:r>
    </w:p>
    <w:p>
      <w:pPr>
        <w:pStyle w:val="20"/>
        <w:ind w:firstLine="199" w:firstLineChars="95"/>
        <w:rPr>
          <w:sz w:val="21"/>
          <w:szCs w:val="21"/>
        </w:rPr>
      </w:pPr>
    </w:p>
    <w:p>
      <w:pPr>
        <w:jc w:val="center"/>
        <w:rPr>
          <w:szCs w:val="21"/>
        </w:rPr>
      </w:pPr>
      <w:r>
        <w:drawing>
          <wp:inline distT="0" distB="0" distL="0" distR="0">
            <wp:extent cx="4876800" cy="8572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877731" cy="8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Cs w:val="21"/>
        </w:rPr>
      </w:pPr>
    </w:p>
    <w:p>
      <w:pPr>
        <w:pStyle w:val="20"/>
        <w:ind w:firstLine="420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到此，考生已完成全部报名流程。</w:t>
      </w:r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48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8"/>
      <w:ind w:firstLine="48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90F"/>
    <w:multiLevelType w:val="multilevel"/>
    <w:tmpl w:val="0158390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292518A"/>
    <w:multiLevelType w:val="multilevel"/>
    <w:tmpl w:val="0292518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5E2FB4"/>
    <w:multiLevelType w:val="multilevel"/>
    <w:tmpl w:val="0F5E2FB4"/>
    <w:lvl w:ilvl="0" w:tentative="0">
      <w:start w:val="1"/>
      <w:numFmt w:val="decimal"/>
      <w:lvlText w:val="%1）"/>
      <w:lvlJc w:val="left"/>
      <w:pPr>
        <w:ind w:left="840" w:hanging="360"/>
      </w:pPr>
      <w:rPr>
        <w:rFonts w:hint="default"/>
        <w:color w:val="auto"/>
        <w:u w:val="none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F274DA2"/>
    <w:multiLevelType w:val="multilevel"/>
    <w:tmpl w:val="1F274DA2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9FD7C8C"/>
    <w:multiLevelType w:val="multilevel"/>
    <w:tmpl w:val="29FD7C8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2758AC"/>
    <w:multiLevelType w:val="multilevel"/>
    <w:tmpl w:val="2E2758A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DD30AB"/>
    <w:multiLevelType w:val="multilevel"/>
    <w:tmpl w:val="40DD30AB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8CC5357"/>
    <w:multiLevelType w:val="multilevel"/>
    <w:tmpl w:val="58CC5357"/>
    <w:lvl w:ilvl="0" w:tentative="0">
      <w:start w:val="1"/>
      <w:numFmt w:val="decimal"/>
      <w:lvlText w:val="%1)"/>
      <w:lvlJc w:val="left"/>
      <w:pPr>
        <w:ind w:left="1160" w:hanging="420"/>
      </w:pPr>
    </w:lvl>
    <w:lvl w:ilvl="1" w:tentative="0">
      <w:start w:val="1"/>
      <w:numFmt w:val="lowerLetter"/>
      <w:lvlText w:val="%2)"/>
      <w:lvlJc w:val="left"/>
      <w:pPr>
        <w:ind w:left="1580" w:hanging="420"/>
      </w:pPr>
    </w:lvl>
    <w:lvl w:ilvl="2" w:tentative="0">
      <w:start w:val="1"/>
      <w:numFmt w:val="lowerRoman"/>
      <w:lvlText w:val="%3."/>
      <w:lvlJc w:val="right"/>
      <w:pPr>
        <w:ind w:left="2000" w:hanging="420"/>
      </w:pPr>
    </w:lvl>
    <w:lvl w:ilvl="3" w:tentative="0">
      <w:start w:val="1"/>
      <w:numFmt w:val="decimal"/>
      <w:lvlText w:val="%4."/>
      <w:lvlJc w:val="left"/>
      <w:pPr>
        <w:ind w:left="2420" w:hanging="420"/>
      </w:pPr>
    </w:lvl>
    <w:lvl w:ilvl="4" w:tentative="0">
      <w:start w:val="1"/>
      <w:numFmt w:val="lowerLetter"/>
      <w:lvlText w:val="%5)"/>
      <w:lvlJc w:val="left"/>
      <w:pPr>
        <w:ind w:left="2840" w:hanging="420"/>
      </w:pPr>
    </w:lvl>
    <w:lvl w:ilvl="5" w:tentative="0">
      <w:start w:val="1"/>
      <w:numFmt w:val="lowerRoman"/>
      <w:lvlText w:val="%6."/>
      <w:lvlJc w:val="right"/>
      <w:pPr>
        <w:ind w:left="3260" w:hanging="420"/>
      </w:pPr>
    </w:lvl>
    <w:lvl w:ilvl="6" w:tentative="0">
      <w:start w:val="1"/>
      <w:numFmt w:val="decimal"/>
      <w:lvlText w:val="%7."/>
      <w:lvlJc w:val="left"/>
      <w:pPr>
        <w:ind w:left="3680" w:hanging="420"/>
      </w:pPr>
    </w:lvl>
    <w:lvl w:ilvl="7" w:tentative="0">
      <w:start w:val="1"/>
      <w:numFmt w:val="lowerLetter"/>
      <w:lvlText w:val="%8)"/>
      <w:lvlJc w:val="left"/>
      <w:pPr>
        <w:ind w:left="4100" w:hanging="420"/>
      </w:pPr>
    </w:lvl>
    <w:lvl w:ilvl="8" w:tentative="0">
      <w:start w:val="1"/>
      <w:numFmt w:val="lowerRoman"/>
      <w:lvlText w:val="%9."/>
      <w:lvlJc w:val="right"/>
      <w:pPr>
        <w:ind w:left="4520" w:hanging="420"/>
      </w:pPr>
    </w:lvl>
  </w:abstractNum>
  <w:abstractNum w:abstractNumId="8">
    <w:nsid w:val="61E02C75"/>
    <w:multiLevelType w:val="multilevel"/>
    <w:tmpl w:val="61E02C75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D"/>
    <w:rsid w:val="0001200B"/>
    <w:rsid w:val="00015B5A"/>
    <w:rsid w:val="0002201D"/>
    <w:rsid w:val="00027044"/>
    <w:rsid w:val="0003518F"/>
    <w:rsid w:val="000410D2"/>
    <w:rsid w:val="000416F6"/>
    <w:rsid w:val="00043452"/>
    <w:rsid w:val="0004345C"/>
    <w:rsid w:val="0004429F"/>
    <w:rsid w:val="00057CE7"/>
    <w:rsid w:val="00064D21"/>
    <w:rsid w:val="00067B4E"/>
    <w:rsid w:val="000746DC"/>
    <w:rsid w:val="00076410"/>
    <w:rsid w:val="00076763"/>
    <w:rsid w:val="000806DF"/>
    <w:rsid w:val="000814F9"/>
    <w:rsid w:val="00084BA2"/>
    <w:rsid w:val="00087AA5"/>
    <w:rsid w:val="00096A3F"/>
    <w:rsid w:val="000A14AD"/>
    <w:rsid w:val="000A6538"/>
    <w:rsid w:val="000B06B6"/>
    <w:rsid w:val="000B0FA2"/>
    <w:rsid w:val="000B505B"/>
    <w:rsid w:val="000B6192"/>
    <w:rsid w:val="000D2583"/>
    <w:rsid w:val="000E4163"/>
    <w:rsid w:val="000E4714"/>
    <w:rsid w:val="000E4F28"/>
    <w:rsid w:val="000E575D"/>
    <w:rsid w:val="000F20C0"/>
    <w:rsid w:val="000F5464"/>
    <w:rsid w:val="00105C3C"/>
    <w:rsid w:val="00110323"/>
    <w:rsid w:val="00115355"/>
    <w:rsid w:val="00132877"/>
    <w:rsid w:val="001333B8"/>
    <w:rsid w:val="00140E55"/>
    <w:rsid w:val="001557DC"/>
    <w:rsid w:val="00155898"/>
    <w:rsid w:val="001569BA"/>
    <w:rsid w:val="00160E9E"/>
    <w:rsid w:val="0016271F"/>
    <w:rsid w:val="00167C18"/>
    <w:rsid w:val="0017064B"/>
    <w:rsid w:val="00173961"/>
    <w:rsid w:val="001743CB"/>
    <w:rsid w:val="001769C9"/>
    <w:rsid w:val="00177617"/>
    <w:rsid w:val="001777C6"/>
    <w:rsid w:val="00177838"/>
    <w:rsid w:val="001804E9"/>
    <w:rsid w:val="00183511"/>
    <w:rsid w:val="00183803"/>
    <w:rsid w:val="0018405A"/>
    <w:rsid w:val="00192FCE"/>
    <w:rsid w:val="001A1A95"/>
    <w:rsid w:val="001A6F32"/>
    <w:rsid w:val="001B61F2"/>
    <w:rsid w:val="001C2C0C"/>
    <w:rsid w:val="001C4106"/>
    <w:rsid w:val="001D2860"/>
    <w:rsid w:val="001D2FB8"/>
    <w:rsid w:val="001D65ED"/>
    <w:rsid w:val="001D7AA8"/>
    <w:rsid w:val="001E0163"/>
    <w:rsid w:val="001E1BDB"/>
    <w:rsid w:val="001E25CE"/>
    <w:rsid w:val="001E5056"/>
    <w:rsid w:val="00202013"/>
    <w:rsid w:val="002054DB"/>
    <w:rsid w:val="002135AA"/>
    <w:rsid w:val="002154C9"/>
    <w:rsid w:val="00216854"/>
    <w:rsid w:val="00222465"/>
    <w:rsid w:val="00223149"/>
    <w:rsid w:val="00224314"/>
    <w:rsid w:val="00226906"/>
    <w:rsid w:val="002320E8"/>
    <w:rsid w:val="0023594B"/>
    <w:rsid w:val="00242885"/>
    <w:rsid w:val="002445E1"/>
    <w:rsid w:val="002532FA"/>
    <w:rsid w:val="00257658"/>
    <w:rsid w:val="00257D77"/>
    <w:rsid w:val="00260E6C"/>
    <w:rsid w:val="0026239D"/>
    <w:rsid w:val="002665B6"/>
    <w:rsid w:val="00271538"/>
    <w:rsid w:val="00273B93"/>
    <w:rsid w:val="002773CD"/>
    <w:rsid w:val="00280D50"/>
    <w:rsid w:val="002866B8"/>
    <w:rsid w:val="00287B2C"/>
    <w:rsid w:val="00293253"/>
    <w:rsid w:val="0029445A"/>
    <w:rsid w:val="0029610F"/>
    <w:rsid w:val="002B2291"/>
    <w:rsid w:val="002C028D"/>
    <w:rsid w:val="002C3B27"/>
    <w:rsid w:val="002C4AFA"/>
    <w:rsid w:val="002C57AE"/>
    <w:rsid w:val="002C71CF"/>
    <w:rsid w:val="002C7D99"/>
    <w:rsid w:val="002D39D2"/>
    <w:rsid w:val="002E0018"/>
    <w:rsid w:val="002E3C45"/>
    <w:rsid w:val="002F1F2B"/>
    <w:rsid w:val="002F719E"/>
    <w:rsid w:val="003023BD"/>
    <w:rsid w:val="003028E3"/>
    <w:rsid w:val="00304EEB"/>
    <w:rsid w:val="00310B17"/>
    <w:rsid w:val="00312E10"/>
    <w:rsid w:val="00330FD3"/>
    <w:rsid w:val="00337395"/>
    <w:rsid w:val="00353085"/>
    <w:rsid w:val="003549FD"/>
    <w:rsid w:val="00363379"/>
    <w:rsid w:val="00363CC4"/>
    <w:rsid w:val="00374591"/>
    <w:rsid w:val="003801DD"/>
    <w:rsid w:val="00386CEE"/>
    <w:rsid w:val="00392BA7"/>
    <w:rsid w:val="003A0188"/>
    <w:rsid w:val="003A61FB"/>
    <w:rsid w:val="003C5188"/>
    <w:rsid w:val="003C7973"/>
    <w:rsid w:val="003F1CCD"/>
    <w:rsid w:val="003F3262"/>
    <w:rsid w:val="003F3642"/>
    <w:rsid w:val="003F6CE1"/>
    <w:rsid w:val="003F7408"/>
    <w:rsid w:val="00414C86"/>
    <w:rsid w:val="004151B4"/>
    <w:rsid w:val="004212B7"/>
    <w:rsid w:val="00421416"/>
    <w:rsid w:val="00431987"/>
    <w:rsid w:val="00434BA4"/>
    <w:rsid w:val="00440B27"/>
    <w:rsid w:val="00442EBE"/>
    <w:rsid w:val="004454AC"/>
    <w:rsid w:val="00450D37"/>
    <w:rsid w:val="00451014"/>
    <w:rsid w:val="0045470E"/>
    <w:rsid w:val="00460606"/>
    <w:rsid w:val="00473871"/>
    <w:rsid w:val="00474475"/>
    <w:rsid w:val="00474EF0"/>
    <w:rsid w:val="00477872"/>
    <w:rsid w:val="00482AED"/>
    <w:rsid w:val="00483CED"/>
    <w:rsid w:val="00490AEF"/>
    <w:rsid w:val="004A5DF3"/>
    <w:rsid w:val="004B04E0"/>
    <w:rsid w:val="004B2CE6"/>
    <w:rsid w:val="004B62B7"/>
    <w:rsid w:val="004C14CE"/>
    <w:rsid w:val="004D3AD1"/>
    <w:rsid w:val="004D575B"/>
    <w:rsid w:val="004E024E"/>
    <w:rsid w:val="004E0D80"/>
    <w:rsid w:val="004E3AE7"/>
    <w:rsid w:val="004E7369"/>
    <w:rsid w:val="004F0C01"/>
    <w:rsid w:val="004F1D02"/>
    <w:rsid w:val="004F3351"/>
    <w:rsid w:val="00501399"/>
    <w:rsid w:val="00506B4F"/>
    <w:rsid w:val="00511CE4"/>
    <w:rsid w:val="00512E36"/>
    <w:rsid w:val="005148E1"/>
    <w:rsid w:val="00524593"/>
    <w:rsid w:val="005251A6"/>
    <w:rsid w:val="00545592"/>
    <w:rsid w:val="00547019"/>
    <w:rsid w:val="005539C2"/>
    <w:rsid w:val="005550D3"/>
    <w:rsid w:val="005679B7"/>
    <w:rsid w:val="005719C9"/>
    <w:rsid w:val="005748EA"/>
    <w:rsid w:val="005761DE"/>
    <w:rsid w:val="00577424"/>
    <w:rsid w:val="00592300"/>
    <w:rsid w:val="005937C3"/>
    <w:rsid w:val="00594DD8"/>
    <w:rsid w:val="005A3A41"/>
    <w:rsid w:val="005A58AB"/>
    <w:rsid w:val="005B6436"/>
    <w:rsid w:val="005C33E9"/>
    <w:rsid w:val="005C4A40"/>
    <w:rsid w:val="005C5D2F"/>
    <w:rsid w:val="005D2665"/>
    <w:rsid w:val="005E19C7"/>
    <w:rsid w:val="005F098B"/>
    <w:rsid w:val="005F76A0"/>
    <w:rsid w:val="00606CB8"/>
    <w:rsid w:val="00611BBC"/>
    <w:rsid w:val="00613FC6"/>
    <w:rsid w:val="006143E7"/>
    <w:rsid w:val="0061474E"/>
    <w:rsid w:val="00620369"/>
    <w:rsid w:val="006211CE"/>
    <w:rsid w:val="00621F37"/>
    <w:rsid w:val="0062493C"/>
    <w:rsid w:val="00630111"/>
    <w:rsid w:val="00632A3E"/>
    <w:rsid w:val="00633B7B"/>
    <w:rsid w:val="006348CD"/>
    <w:rsid w:val="006534A7"/>
    <w:rsid w:val="00662FBC"/>
    <w:rsid w:val="006658FE"/>
    <w:rsid w:val="006769DA"/>
    <w:rsid w:val="006833FB"/>
    <w:rsid w:val="006916E4"/>
    <w:rsid w:val="006A0865"/>
    <w:rsid w:val="006A113F"/>
    <w:rsid w:val="006B0EBE"/>
    <w:rsid w:val="006B2D1C"/>
    <w:rsid w:val="006C2523"/>
    <w:rsid w:val="006D46FC"/>
    <w:rsid w:val="006D72EB"/>
    <w:rsid w:val="006E6037"/>
    <w:rsid w:val="006F3AE2"/>
    <w:rsid w:val="006F50D5"/>
    <w:rsid w:val="006F6B89"/>
    <w:rsid w:val="00701BB5"/>
    <w:rsid w:val="00704DE9"/>
    <w:rsid w:val="00705120"/>
    <w:rsid w:val="007071FA"/>
    <w:rsid w:val="00714CFD"/>
    <w:rsid w:val="00721E4D"/>
    <w:rsid w:val="0072677E"/>
    <w:rsid w:val="007274D9"/>
    <w:rsid w:val="00743F9F"/>
    <w:rsid w:val="00753893"/>
    <w:rsid w:val="00753BF8"/>
    <w:rsid w:val="00757963"/>
    <w:rsid w:val="00757D57"/>
    <w:rsid w:val="00762E05"/>
    <w:rsid w:val="00765566"/>
    <w:rsid w:val="007673F5"/>
    <w:rsid w:val="00774DB9"/>
    <w:rsid w:val="007755DF"/>
    <w:rsid w:val="007813AD"/>
    <w:rsid w:val="00782A2A"/>
    <w:rsid w:val="00783A69"/>
    <w:rsid w:val="0079374A"/>
    <w:rsid w:val="00794D7B"/>
    <w:rsid w:val="007A2EDF"/>
    <w:rsid w:val="007A3797"/>
    <w:rsid w:val="007D2905"/>
    <w:rsid w:val="007E16FF"/>
    <w:rsid w:val="007E380E"/>
    <w:rsid w:val="007E69FA"/>
    <w:rsid w:val="007F074C"/>
    <w:rsid w:val="007F2B56"/>
    <w:rsid w:val="007F3537"/>
    <w:rsid w:val="007F6AA9"/>
    <w:rsid w:val="008014CC"/>
    <w:rsid w:val="00802F54"/>
    <w:rsid w:val="00804D6E"/>
    <w:rsid w:val="008067E7"/>
    <w:rsid w:val="00817B7C"/>
    <w:rsid w:val="00824316"/>
    <w:rsid w:val="008315C8"/>
    <w:rsid w:val="008473B1"/>
    <w:rsid w:val="00850CB4"/>
    <w:rsid w:val="00851019"/>
    <w:rsid w:val="00851E43"/>
    <w:rsid w:val="00851E95"/>
    <w:rsid w:val="0085411B"/>
    <w:rsid w:val="00860169"/>
    <w:rsid w:val="0086518D"/>
    <w:rsid w:val="00877E38"/>
    <w:rsid w:val="00883DE6"/>
    <w:rsid w:val="00887591"/>
    <w:rsid w:val="00891B7E"/>
    <w:rsid w:val="008A1B07"/>
    <w:rsid w:val="008B4441"/>
    <w:rsid w:val="008B4557"/>
    <w:rsid w:val="008C26AD"/>
    <w:rsid w:val="008C4681"/>
    <w:rsid w:val="008C569F"/>
    <w:rsid w:val="008D3F00"/>
    <w:rsid w:val="008E0A56"/>
    <w:rsid w:val="008E1F37"/>
    <w:rsid w:val="008E361E"/>
    <w:rsid w:val="008E7BAF"/>
    <w:rsid w:val="009149B4"/>
    <w:rsid w:val="00915B3A"/>
    <w:rsid w:val="00920980"/>
    <w:rsid w:val="00927BE1"/>
    <w:rsid w:val="00930EA9"/>
    <w:rsid w:val="00937CFA"/>
    <w:rsid w:val="009431C1"/>
    <w:rsid w:val="00943965"/>
    <w:rsid w:val="0096260A"/>
    <w:rsid w:val="0097292C"/>
    <w:rsid w:val="00972E1E"/>
    <w:rsid w:val="00973F9C"/>
    <w:rsid w:val="00982003"/>
    <w:rsid w:val="00983E15"/>
    <w:rsid w:val="00991245"/>
    <w:rsid w:val="00995719"/>
    <w:rsid w:val="009A0304"/>
    <w:rsid w:val="009A5A72"/>
    <w:rsid w:val="009C0E23"/>
    <w:rsid w:val="009C6A07"/>
    <w:rsid w:val="009C73A0"/>
    <w:rsid w:val="009D0D73"/>
    <w:rsid w:val="009D64B0"/>
    <w:rsid w:val="009E5E1F"/>
    <w:rsid w:val="009E5E31"/>
    <w:rsid w:val="009E6606"/>
    <w:rsid w:val="00A00950"/>
    <w:rsid w:val="00A0211C"/>
    <w:rsid w:val="00A04FDC"/>
    <w:rsid w:val="00A15F28"/>
    <w:rsid w:val="00A161B5"/>
    <w:rsid w:val="00A16872"/>
    <w:rsid w:val="00A24F6F"/>
    <w:rsid w:val="00A32A8F"/>
    <w:rsid w:val="00A34054"/>
    <w:rsid w:val="00A34B3B"/>
    <w:rsid w:val="00A4332A"/>
    <w:rsid w:val="00A46578"/>
    <w:rsid w:val="00A55C35"/>
    <w:rsid w:val="00A61C99"/>
    <w:rsid w:val="00A620AC"/>
    <w:rsid w:val="00A768D9"/>
    <w:rsid w:val="00A845CB"/>
    <w:rsid w:val="00A8529A"/>
    <w:rsid w:val="00A874A3"/>
    <w:rsid w:val="00A87FB2"/>
    <w:rsid w:val="00A9059A"/>
    <w:rsid w:val="00A96471"/>
    <w:rsid w:val="00AA4883"/>
    <w:rsid w:val="00AA59BA"/>
    <w:rsid w:val="00AB27B6"/>
    <w:rsid w:val="00AB66AD"/>
    <w:rsid w:val="00AB7CA3"/>
    <w:rsid w:val="00AD63F9"/>
    <w:rsid w:val="00AE42A4"/>
    <w:rsid w:val="00AE483D"/>
    <w:rsid w:val="00AE5EE3"/>
    <w:rsid w:val="00AF103F"/>
    <w:rsid w:val="00AF57E0"/>
    <w:rsid w:val="00B070A9"/>
    <w:rsid w:val="00B13FED"/>
    <w:rsid w:val="00B15D68"/>
    <w:rsid w:val="00B16587"/>
    <w:rsid w:val="00B16D29"/>
    <w:rsid w:val="00B205E6"/>
    <w:rsid w:val="00B27015"/>
    <w:rsid w:val="00B33AA5"/>
    <w:rsid w:val="00B3770E"/>
    <w:rsid w:val="00B56DDF"/>
    <w:rsid w:val="00B87AC3"/>
    <w:rsid w:val="00B9231E"/>
    <w:rsid w:val="00BA757B"/>
    <w:rsid w:val="00BA78FC"/>
    <w:rsid w:val="00BB2C72"/>
    <w:rsid w:val="00BB46CB"/>
    <w:rsid w:val="00BC282F"/>
    <w:rsid w:val="00BC3B14"/>
    <w:rsid w:val="00BC705D"/>
    <w:rsid w:val="00BD7BD4"/>
    <w:rsid w:val="00BE3D35"/>
    <w:rsid w:val="00BF46B7"/>
    <w:rsid w:val="00BF72AE"/>
    <w:rsid w:val="00C017BE"/>
    <w:rsid w:val="00C02978"/>
    <w:rsid w:val="00C05C1E"/>
    <w:rsid w:val="00C07042"/>
    <w:rsid w:val="00C07D9F"/>
    <w:rsid w:val="00C13631"/>
    <w:rsid w:val="00C16FF9"/>
    <w:rsid w:val="00C22772"/>
    <w:rsid w:val="00C26E61"/>
    <w:rsid w:val="00C3366D"/>
    <w:rsid w:val="00C35C44"/>
    <w:rsid w:val="00C41854"/>
    <w:rsid w:val="00C4753F"/>
    <w:rsid w:val="00C475FA"/>
    <w:rsid w:val="00C5157E"/>
    <w:rsid w:val="00C53424"/>
    <w:rsid w:val="00C65D31"/>
    <w:rsid w:val="00C73E64"/>
    <w:rsid w:val="00C80D0A"/>
    <w:rsid w:val="00C8270B"/>
    <w:rsid w:val="00C84230"/>
    <w:rsid w:val="00C9604B"/>
    <w:rsid w:val="00CA7C28"/>
    <w:rsid w:val="00CB1A9C"/>
    <w:rsid w:val="00CC61A0"/>
    <w:rsid w:val="00CD2D11"/>
    <w:rsid w:val="00CF331A"/>
    <w:rsid w:val="00D06D6F"/>
    <w:rsid w:val="00D2369B"/>
    <w:rsid w:val="00D26858"/>
    <w:rsid w:val="00D30315"/>
    <w:rsid w:val="00D367F5"/>
    <w:rsid w:val="00D404C0"/>
    <w:rsid w:val="00D4095E"/>
    <w:rsid w:val="00D47242"/>
    <w:rsid w:val="00D52A9C"/>
    <w:rsid w:val="00D7030D"/>
    <w:rsid w:val="00D855F5"/>
    <w:rsid w:val="00D86277"/>
    <w:rsid w:val="00D86BCF"/>
    <w:rsid w:val="00D93655"/>
    <w:rsid w:val="00DC07AD"/>
    <w:rsid w:val="00DC28EF"/>
    <w:rsid w:val="00DD54B6"/>
    <w:rsid w:val="00DD77DF"/>
    <w:rsid w:val="00DE242E"/>
    <w:rsid w:val="00DE53B7"/>
    <w:rsid w:val="00DE66FC"/>
    <w:rsid w:val="00E04075"/>
    <w:rsid w:val="00E05E1B"/>
    <w:rsid w:val="00E0675B"/>
    <w:rsid w:val="00E07DC9"/>
    <w:rsid w:val="00E1220D"/>
    <w:rsid w:val="00E14C58"/>
    <w:rsid w:val="00E15A67"/>
    <w:rsid w:val="00E24664"/>
    <w:rsid w:val="00E26435"/>
    <w:rsid w:val="00E34D0F"/>
    <w:rsid w:val="00E36E13"/>
    <w:rsid w:val="00E37DB7"/>
    <w:rsid w:val="00E42123"/>
    <w:rsid w:val="00E440B0"/>
    <w:rsid w:val="00E51C2B"/>
    <w:rsid w:val="00E5362E"/>
    <w:rsid w:val="00E536B7"/>
    <w:rsid w:val="00E54F91"/>
    <w:rsid w:val="00E615CF"/>
    <w:rsid w:val="00E961E7"/>
    <w:rsid w:val="00EA2483"/>
    <w:rsid w:val="00EB516B"/>
    <w:rsid w:val="00EB559D"/>
    <w:rsid w:val="00EB625B"/>
    <w:rsid w:val="00EC5A40"/>
    <w:rsid w:val="00EC6B01"/>
    <w:rsid w:val="00ED26DC"/>
    <w:rsid w:val="00ED4336"/>
    <w:rsid w:val="00EE1A77"/>
    <w:rsid w:val="00EE348D"/>
    <w:rsid w:val="00EF21C1"/>
    <w:rsid w:val="00F11725"/>
    <w:rsid w:val="00F11B3E"/>
    <w:rsid w:val="00F12F17"/>
    <w:rsid w:val="00F227C7"/>
    <w:rsid w:val="00F27922"/>
    <w:rsid w:val="00F40452"/>
    <w:rsid w:val="00F45764"/>
    <w:rsid w:val="00F67737"/>
    <w:rsid w:val="00F72C00"/>
    <w:rsid w:val="00F750DA"/>
    <w:rsid w:val="00F75782"/>
    <w:rsid w:val="00F83F05"/>
    <w:rsid w:val="00F848E1"/>
    <w:rsid w:val="00F97E91"/>
    <w:rsid w:val="00FA6BDE"/>
    <w:rsid w:val="00FC0CEF"/>
    <w:rsid w:val="00FC135D"/>
    <w:rsid w:val="00FC1903"/>
    <w:rsid w:val="00FF17CB"/>
    <w:rsid w:val="00FF17CF"/>
    <w:rsid w:val="00FF2671"/>
    <w:rsid w:val="059C7499"/>
    <w:rsid w:val="22480B98"/>
    <w:rsid w:val="22C57778"/>
    <w:rsid w:val="51D318C0"/>
    <w:rsid w:val="6D6C41E1"/>
    <w:rsid w:val="77B970DC"/>
    <w:rsid w:val="781D1B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qFormat/>
    <w:uiPriority w:val="39"/>
    <w:pPr>
      <w:ind w:left="840" w:leftChars="400"/>
      <w:jc w:val="left"/>
    </w:pPr>
    <w:rPr>
      <w:rFonts w:ascii="Times New Roman" w:hAnsi="Times New Roman" w:eastAsia="宋体"/>
    </w:rPr>
  </w:style>
  <w:style w:type="paragraph" w:styleId="7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jc w:val="left"/>
    </w:pPr>
    <w:rPr>
      <w:rFonts w:ascii="Times New Roman" w:hAnsi="Times New Roman" w:eastAsia="宋体"/>
    </w:rPr>
  </w:style>
  <w:style w:type="paragraph" w:styleId="11">
    <w:name w:val="toc 2"/>
    <w:basedOn w:val="1"/>
    <w:next w:val="1"/>
    <w:unhideWhenUsed/>
    <w:qFormat/>
    <w:uiPriority w:val="39"/>
    <w:pPr>
      <w:ind w:left="420" w:leftChars="200"/>
      <w:jc w:val="left"/>
    </w:pPr>
    <w:rPr>
      <w:rFonts w:ascii="Times New Roman" w:hAnsi="Times New Roman" w:eastAsia="宋体"/>
    </w:rPr>
  </w:style>
  <w:style w:type="character" w:styleId="13">
    <w:name w:val="FollowedHyperlink"/>
    <w:basedOn w:val="12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6">
    <w:name w:val="批注框文本 Char"/>
    <w:basedOn w:val="12"/>
    <w:link w:val="7"/>
    <w:semiHidden/>
    <w:qFormat/>
    <w:uiPriority w:val="99"/>
    <w:rPr>
      <w:sz w:val="18"/>
      <w:szCs w:val="18"/>
    </w:rPr>
  </w:style>
  <w:style w:type="character" w:customStyle="1" w:styleId="17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标题 3 Char"/>
    <w:basedOn w:val="12"/>
    <w:link w:val="4"/>
    <w:qFormat/>
    <w:uiPriority w:val="9"/>
    <w:rPr>
      <w:b/>
      <w:bCs/>
      <w:sz w:val="32"/>
      <w:szCs w:val="32"/>
    </w:rPr>
  </w:style>
  <w:style w:type="paragraph" w:customStyle="1" w:styleId="19">
    <w:name w:val="List Paragraph"/>
    <w:basedOn w:val="1"/>
    <w:qFormat/>
    <w:uiPriority w:val="34"/>
    <w:pPr>
      <w:ind w:firstLine="420" w:firstLineChars="200"/>
      <w:jc w:val="left"/>
    </w:pPr>
    <w:rPr>
      <w:rFonts w:ascii="Times New Roman" w:hAnsi="Times New Roman" w:eastAsia="宋体"/>
    </w:rPr>
  </w:style>
  <w:style w:type="paragraph" w:customStyle="1" w:styleId="20">
    <w:name w:val="No Spacing"/>
    <w:link w:val="21"/>
    <w:qFormat/>
    <w:uiPriority w:val="1"/>
    <w:pPr>
      <w:spacing w:line="400" w:lineRule="exact"/>
      <w:ind w:firstLine="200" w:firstLineChars="200"/>
    </w:pPr>
    <w:rPr>
      <w:rFonts w:ascii="Times New Roman" w:hAnsi="Times New Roman" w:eastAsia="宋体" w:cstheme="minorBidi"/>
      <w:kern w:val="0"/>
      <w:sz w:val="24"/>
      <w:szCs w:val="22"/>
      <w:lang w:val="en-US" w:eastAsia="zh-CN" w:bidi="ar-SA"/>
    </w:rPr>
  </w:style>
  <w:style w:type="character" w:customStyle="1" w:styleId="21">
    <w:name w:val="无间隔 Char"/>
    <w:basedOn w:val="12"/>
    <w:link w:val="20"/>
    <w:qFormat/>
    <w:uiPriority w:val="1"/>
    <w:rPr>
      <w:rFonts w:ascii="Times New Roman" w:hAnsi="Times New Roman" w:eastAsia="宋体"/>
      <w:kern w:val="0"/>
      <w:sz w:val="24"/>
    </w:rPr>
  </w:style>
  <w:style w:type="character" w:customStyle="1" w:styleId="22">
    <w:name w:val="标题 4 Char"/>
    <w:basedOn w:val="12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3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4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25">
    <w:name w:val="页脚 Char"/>
    <w:basedOn w:val="12"/>
    <w:link w:val="8"/>
    <w:qFormat/>
    <w:uiPriority w:val="99"/>
    <w:rPr>
      <w:sz w:val="18"/>
      <w:szCs w:val="18"/>
    </w:rPr>
  </w:style>
  <w:style w:type="paragraph" w:customStyle="1" w:styleId="26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7">
    <w:name w:val="datagrid-sort-icon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6" Type="http://schemas.openxmlformats.org/officeDocument/2006/relationships/fontTable" Target="fontTable.xml"/><Relationship Id="rId35" Type="http://schemas.openxmlformats.org/officeDocument/2006/relationships/numbering" Target="numbering.xml"/><Relationship Id="rId34" Type="http://schemas.openxmlformats.org/officeDocument/2006/relationships/customXml" Target="../customXml/item1.xml"/><Relationship Id="rId33" Type="http://schemas.openxmlformats.org/officeDocument/2006/relationships/image" Target="media/image28.png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header" Target="header1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392</Words>
  <Characters>2237</Characters>
  <Lines>18</Lines>
  <Paragraphs>5</Paragraphs>
  <ScaleCrop>false</ScaleCrop>
  <LinksUpToDate>false</LinksUpToDate>
  <CharactersWithSpaces>2624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2014-11-13T02:25:00Z</dcterms:created>
  <dc:creator>buaasdu</dc:creator>
  <cp:lastModifiedBy>张琳琳</cp:lastModifiedBy>
  <dcterms:modified xsi:type="dcterms:W3CDTF">2017-02-10T06:51:26Z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